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Názov: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ZBERNÝ DVOR LUDANICE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Miesto: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k.ú. LUDANICE, č. parciel 10199/15, 10199/14, 199/5, 891/7</w:t>
      </w:r>
    </w:p>
    <w:p w:rsid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nvestor:    OBEC LUDANICE, SNP 448/69</w:t>
      </w:r>
    </w:p>
    <w:p w:rsidR="00041B58" w:rsidRPr="00CC6061" w:rsidRDefault="00041B58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Časť:          SO 03  ELEKTROINŠTALÁCIA PRÍSTREŠKU PRE TECHNIKU</w:t>
      </w:r>
    </w:p>
    <w:p w:rsidR="00CC6061" w:rsidRPr="00CC6061" w:rsidRDefault="00041B58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04  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ELEKTROINŠTALÁCIA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OTVORENÉHO PRÍSTREŠKU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O b s a h   z v ä z k u   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A/ Technická správa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B/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Protokol o vonkajších vplyvoch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 V ý k r e s o v á   č a s ť  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E  1 –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03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Elektroinštalácia</w:t>
      </w:r>
    </w:p>
    <w:p w:rsid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E  2 –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03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Bleskozvod</w:t>
      </w:r>
    </w:p>
    <w:p w:rsidR="00041B58" w:rsidRPr="00CC6061" w:rsidRDefault="00041B58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E  3 –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04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Elektroinštalácia</w:t>
      </w:r>
    </w:p>
    <w:p w:rsid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E  4 –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04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Bleskozvod</w:t>
      </w:r>
    </w:p>
    <w:p w:rsidR="00041B58" w:rsidRPr="00CC6061" w:rsidRDefault="00041B58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E  5 – Rozvádzač RS1</w:t>
      </w:r>
    </w:p>
    <w:p w:rsidR="00CC6061" w:rsidRPr="00CC6061" w:rsidRDefault="00041B58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E  6 – Rozvádzač RS2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  7 – Zásuvková skriňa MXZ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Topoľčany, 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/20</w:t>
      </w:r>
      <w:r w:rsidR="00041B58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Vypracoval:  Ing.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Zdichavský</w:t>
      </w:r>
      <w:proofErr w:type="spellEnd"/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8"/>
          <w:szCs w:val="24"/>
          <w:lang w:eastAsia="cs-CZ"/>
        </w:rPr>
        <w:t xml:space="preserve">         </w:t>
      </w:r>
      <w:r w:rsidR="00EC597F">
        <w:rPr>
          <w:rFonts w:ascii="Times New Roman" w:eastAsia="Times New Roman" w:hAnsi="Times New Roman" w:cs="Times New Roman"/>
          <w:sz w:val="28"/>
          <w:szCs w:val="24"/>
          <w:lang w:eastAsia="cs-CZ"/>
        </w:rPr>
        <w:t xml:space="preserve">   </w:t>
      </w:r>
      <w:r w:rsidRPr="00CC6061">
        <w:rPr>
          <w:rFonts w:ascii="Times New Roman" w:eastAsia="Times New Roman" w:hAnsi="Times New Roman" w:cs="Times New Roman"/>
          <w:sz w:val="28"/>
          <w:szCs w:val="24"/>
          <w:lang w:eastAsia="cs-CZ"/>
        </w:rPr>
        <w:t xml:space="preserve">                      T E C H N I C K Á   S P R Á V A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1/ Rozsah projektu: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 rieši  </w:t>
      </w:r>
      <w:r w:rsidR="0026371B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elektroinštaláciu a bleskozvod prístrešku pre techniku a otvoreného prístrešku, rozvádzač RS1, RS2, zásuvkovú skriňu MXZ, hlavné pospájanie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zberného dvora</w:t>
      </w:r>
      <w:r w:rsidR="002637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rozsahu  pre stavebné povolenie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2/ Projektové podklady: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stavebná časť projektu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obhliadka stavby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predpisy a normy STN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3/ Napäťová sústava: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3+PEN, 230/400 V, 50 Hz, AC, TN-C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3+NPE, 230/400 V, 50 Hz, AC, TN-S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1+NPE, 230/12V, 50 Hz, AC, TN-S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4/ Ochrana 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pred úrazom elektrickým prúdom v normálnej prevádzke podľa STN 33 2000-4-41: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izoláciou živých častí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zábranami a krytmi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prúdovým chráničom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pre úrazom elektrickým prúdom pri poruche podľa STN 33 2000-4-41: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samočinným odpojením napájania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hlavné pospájanie</w:t>
      </w:r>
    </w:p>
    <w:p w:rsidR="00CC6061" w:rsidRPr="00CC6061" w:rsidRDefault="00CC6061" w:rsidP="00CC60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ochrana prúdovým chráničom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5/ Inštalovaný príkon: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Pi =  15 kW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Súdobosť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0,6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Ps = 9 kW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6/ Kategorizácia napájania: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Objekt je zaradený do III. stupňa dôležitosti zásobovania elektrickou energiou. Napojenie je preto jednoduché, bez zaistenia náhradnej dodávky el. energie.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26371B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7/ Elektroinštalácia prístreškov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26371B" w:rsidRDefault="0026371B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Elektroinštalácia prístreškov je navrhnutá káblami CYKY pevne po povrchu. Káble budú vedené v oceľových trubkách a v žľaboch. Osvetlenie je riešené lineárnymi svietidlami LED, ktoré sa osadia na stropnú konštrukciu. Osvetlenie  prístrešku pre techniku bude napojené z rozvádzača RS1, ktorý je navrhnutý z vonkajšej strany. Pred vstupnými bránami z vonkajšej strany sú navrhnuté svietidlá s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čidlom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pohybu. Osvetlenie prístrešku sa bude ovládať vypínačmi,  každá rada samostatne vypínačom. Pre rolovacie brány sú navrhnuté vývody, ktoré budú ukončené trojpólovými vypínačmi pri každej bráne samostatným vývodom. Osvetlenie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otvoreného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prístrešku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napojené z rozvádzača RS2, ktorý bude osadený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z vonkajšej strany prístrešku. Osvetlenie sa bude ovládať vypínačom pri vstupe do prístrešku. V rozvádzači RS2 bude inštalovaná zásuvka 230V. </w:t>
      </w:r>
    </w:p>
    <w:p w:rsidR="0026371B" w:rsidRDefault="0026371B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464B5F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 Bleskozvod a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zemnenie: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Bleskozvod sa vybuduje na streche prístrešk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>ov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Oba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bleskozvody </w:t>
      </w:r>
      <w:r w:rsidR="00464B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sú riešené mrežovým vodičom na podperách vedenia.  Bleskozvod na prístrešku pre techniku pozostáva z 5-ich zvodov a bleskozvod na otvorenom prístrešku pozostáva z 2-och zvodov. 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Zvody na oboch prístreškoch budú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vzájomne prepojené vodičom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FeZn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30x4mm, ktorý sa uloží do výkopu. Pre mo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stovú váhu sa vybuduje okružné u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zemnenie uložením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zemniaceho</w:t>
      </w:r>
      <w:proofErr w:type="spellEnd"/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pásu </w:t>
      </w:r>
      <w:proofErr w:type="spellStart"/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FeZn</w:t>
      </w:r>
      <w:proofErr w:type="spellEnd"/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30x4 mm. U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zemnenie je riešené v zmysle STN 62 305-3, čl.5421, 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zemnenie typu A. Bleskozvod je riešený taktiež podľa tejto normy. 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607ABE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CC6061"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 Meranie spotreby  elektrickej energie: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Nie je predmetom tohto projektu,  je riešené v projekte „Elektrická prípojka NN“.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 Zaradenie objektu :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Podľa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Vyhl.č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508/2009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Z.z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., par.3, odst.1, príloha 1, časť III,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odst.B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, je zariadenie zaradené do skupiny B.</w:t>
      </w: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607ABE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/ Odborná prehliadka:</w:t>
      </w:r>
    </w:p>
    <w:p w:rsidR="00CC6061" w:rsidRDefault="00CC6061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ukončení montáže dodávateľská organizácia  zabezpečí  odbornú prehliadku pracovníkom oprávneným na túto činnosť v zmysle Vyhl. č. 508/2009 </w:t>
      </w:r>
      <w:proofErr w:type="spellStart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Z.z</w:t>
      </w:r>
      <w:proofErr w:type="spellEnd"/>
      <w:r w:rsidRPr="00CC6061">
        <w:rPr>
          <w:rFonts w:ascii="Times New Roman" w:eastAsia="Times New Roman" w:hAnsi="Times New Roman" w:cs="Times New Roman"/>
          <w:sz w:val="24"/>
          <w:szCs w:val="24"/>
          <w:lang w:eastAsia="cs-CZ"/>
        </w:rPr>
        <w:t>., ktorý o tom vystaví odborný záznam spolu s projektom skutočného vyhotovenia odovzdá investorovi.</w:t>
      </w:r>
    </w:p>
    <w:p w:rsidR="004D592F" w:rsidRPr="00CC6061" w:rsidRDefault="004D592F" w:rsidP="00CC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8"/>
          <w:lang w:eastAsia="cs-CZ"/>
        </w:rPr>
      </w:pPr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Vyhodnotenie neodstrániteľných nebezpečenstiev a neodstrániteľných ohrození vyplývajúcich z navrhovaných riešení elektroinštalácie ako aj montáže elektrických zariadení a návrh ochranných opatrení proti týmto nebezpečenstvám a ohrozeniam v zmysle zákona NR SR č. 124/2006 </w:t>
      </w:r>
      <w:proofErr w:type="spellStart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Z.z</w:t>
      </w:r>
      <w:proofErr w:type="spellEnd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v znení zákona č. 125/2006 </w:t>
      </w:r>
      <w:proofErr w:type="spellStart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Z.z</w:t>
      </w:r>
      <w:proofErr w:type="spellEnd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. o inšpekcii práce a o zmene a doplnení zákona č.82/2005 </w:t>
      </w:r>
      <w:proofErr w:type="spellStart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Z.z</w:t>
      </w:r>
      <w:proofErr w:type="spellEnd"/>
      <w:r w:rsidRPr="004D592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. o nelegálnej práci a nelegálnom zamestnávaní a o zmene a doplnení niektorých zákonov.   </w:t>
      </w:r>
    </w:p>
    <w:p w:rsidR="004D592F" w:rsidRPr="004D592F" w:rsidRDefault="004D592F" w:rsidP="004D592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b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Elektroinštalačný materiál a elektrické zariadenia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posudzované podľa zákona NR SR č. 264/1999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– O technických požiadavkách na výrobky a o posudzovaní zhody... a musia byť na každý elektroinštalačný výrobok a zariadenie od dodávateľa elektroinštalácie vydané vyhlásenie o zhode. Vyhlásenie o zhode na predmetný elektroinštalačný výrobok a zariadenie tento výrobok a zariadenie oprávňuje používať za obvyklého prevádzkového stavu bez rizika ohrozenia bezpečnosti a zdravia osôb a majetku.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Pri práci na elektrických zariadeniach a pri elektroinštaláciách z hľadiska bezpečnosti a ochrany zdravia pri práci vyplývajúcich z navrhovaných riešení v tomto projekte elektroinštalácie, v určených prevádzkových a užívateľských podmienkach je nutné dodržiavať ustanovenia STN 34 3100:2001: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Pre každú elektroinštaláciu sa musí určiť osoba zodpovedná za jej montáž a prevádzku na kvalifikačnej úrovni podľa vyhlášky SÚBP č. 508/2009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. 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Pre obsluhu a prácu na elektrických inštaláciách dodržiavať pracovné postupy podľa kvalifikácie osôb.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Podľa STN 34 3100:2001 čl. 5 – zaisťovať bezpečnosť pri práci, ide o bezpečnostné oznamy, ochranné a pracovné pomôcky, technické a organizačné opatrenia na zaistenie bezpečnosti pri práci.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6 – obsluhovať nainštalované elektrické zariadenia.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Podľa STN 34 3100:2001 čl. 7 – vykonávať práce na elektrických inštaláciách, čl. 7.1 – Spoločné ustanovenia, čl. 7.2 – práca na elektrických inštaláciách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mn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, čl. 7.3 – práca na elektrických inštaláciách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nn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, čl. 7.5 – práca na elektrických inštaláciách vykonávaná cudzím (vyslanými) pracovníkmi.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8 – zabezpečovať protipožiarne opatrenia a hasenie požiarov na elektrických inštaláciách.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Obsluhu a prácu na elektrických vedeniach vonkajších a káblových vykonávať a riadiť podľa STN 34 3101:1987/a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a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 súvisiacich predpisov a STN.34 3101/A/1991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Obsluhu a prácu na elektrických prístrojoch a rozvádzačoch vykonávať a riadiť podľa STN 34 3107:1970 a súvisiacich predpisov a STN.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Odporúčam dodržiavať podľa STN EN 50110-1:2014 – Prevádzka elektrických inštalácií, ustanovenia čl. 4 – Základné princípy, čl. 5 – Zvyčajné prevádzkové postupy, čl. 6 – Pracovné postupy, čl. 7 – Postupy na údržbárske práce...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Bezpodmienečne dbajte na to, aby všetky práce na elektroinštalácii boli urobené len odborníkmi v zmysle vyhlášky č. 508/2009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., §14. Odborná spôsobilosť pracovníkov na činnosť na elektrických zariadeniach musí byť posudzovaná podľa vyhlášky č. 508/2009Z.z.§19, §20, §21, §22, §23 a §24.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Pohyblivé a 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podajné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 prívody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sa musia klásť a používať tak, aby sa nemohli poškodiť a aby boli zabezpečené proti posunutiu a vytrhnutiu zo svoriek.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Pri používaní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rozpájateľných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 pod napätím.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Pri napájaní zariadení šnúrou, ochranný vodič v šnúre musí byť dlhší ako krajné (fázové) vodiče, pre prípad zlyhania odľahčovacej svorky – aby bol posledným prerušeným vodičom.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Dočasné elektrické zariadenia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alebo ich časti musia byť v čase, keď sa nepoužívajú, vypnuté, pokiaľ  ich 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Stroje, zariadenia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 alebo ich časti musia byť zabezpečené </w:t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proti samovoľnému spusteniu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po prechodnej strate napätia v sieti, okrem prípadov, pri ktorých samovoľné spustenie nie je spojené s nebezpečenstvom úrazu, poruchy alebo prevádzkovej nehody. Samovoľné spustenie stroja alebo zariadenia nesmie nastať ani v prípade náhodného skratu alebo uzemňovacieho spojenia v riadiacich obvodoch. Porucha v riadiacich okruhoch nesmie znemožniť ani núdzové  alebo havarijné zastavenie stroja alebo zariadenia.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Rozvádzač,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resp.rozvodnica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(ďalej len rozvádzač),pre elektrickú inštaláciu môže vyrábať len subjekt, ktorý vlastní oprávnenie na výrobu rozvádzačov podľa vyhl. 508/2009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Rozvádzač musí byť vyrobený podľa STN EN 61439-6/2013 ,STN EN 61439-3/2012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K rozvádzaču musí byť dodaná sprievodná dokumentácia s určením podmienok na jeho inštaláciu, prevádzku, údržbu a pre používanie prístrojov, ktoré 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sú jeho súčasťou. Pripojovacie svorky, objímky a pod., slúžiace na pripojenie neživých častí s vonkajšími ochrannými vodičmi, nesmú mať inú funkciu.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Rozvádzač v izolačnom kryte musí byť viditeľne označený číslom symbolu z vonkajšej strany 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rozvádzača. Spoje medzi prúdovými časťami sa musia urobiť takými prostriedkami, ktoré zabezpečia dostatočný a stály tlak.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Vykonanie kusovej skúšky vo výrobni rozvádzača, nezbavuje montážnu organizáciu, ktorá rozvádzač inštaluje, povinnosť prekontrolovať rozvádzač po jeho preprave a inštalovaní podľa  STN 33 15 00/Z1/2007,STN 331500/Z1/ 01/2008, STN 33 1500/Z2/2015.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Elektroinštalácia a elektrické zariadenia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vo všetkých svoj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>i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ch častiach konštruované, vyrobené, montované a prevádzkované s prihliadnutím na prevádzkové napätie tak, aby sa nestali pri zvyčajnom používaní zdrojom úrazu, požiaru alebo výbuchu.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Pracovné postupy je nutné realizovať na základe platnej technickej a konštrukčnej dokumentácie, vyhotovenej podľa vyhlášky č. 508/2009 Z.z.,§6,príloha č.2 a č.3,zákona č. 264/1999 Z.z.,prílohač.4, a  pridruženým predpisom  STN.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zariadenia sa smú používať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(prevádzkovať) iba za prevádzkových a pracovných podmienok, pre ktoré boli konštruované a vyrobené. Všetky časti elektrického zariadenia musia byť mechanicky pevné, spoľahlivo upevnené a nesmú nepriaznivo ovplyvňovať iné zariadenia, musia byť dostatočne dimenzované a chránené proti účinkom skratových prúdov a preťaženiu.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Je nutné zabrániť prúdom spôsobujúcim úraz a nadmerné teploty. ktoré môžu spôsobiť požiar, alebo škodlivé účinky, ktoré ohrozujú bezpečnosť osôb,</w:t>
      </w:r>
    </w:p>
    <w:p w:rsidR="004D592F" w:rsidRPr="004D592F" w:rsidRDefault="004D592F" w:rsidP="004D592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hospodárskych zvierat a majetku. Do rozvodných zariadení musia byť inštalované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odpájacie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prístroje – hlavné vypínače pre vypínanie elektroinštalácie ako celku a prístroje pre vypínanie jednotlivých obvodov, pre okamžité prerušenie napájania, s ich označením, bezpečným a rýchlym ovládaním. Všetky časti elektrickej inštalácie. ktoré slúžia na zaistenie bezpečnosti osôb v prípade nebezpečenstva (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napr.hlavné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vypínače zariadení),musia byť nápadne označené a v ich blízkosti musí byť umiestnená bezpečnostná značka alebo nápis s príslušným pokynom. Všetky elektrické zariadenia, ktoré môžu spôsobiť vysoké teploty alebo elektrický oblúk, musia sa umiestniť a chrániť tak, aby sa zabránilo nebezpečenstvu vzniku a rozšírenia požiaru horľavých látok, aby sa nezhoršovali navrhnuté podmienky chladenia podľa ich návodu na montáž od výrobcu a dodávateľa.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Ak budú elektrické zariadenia uvádzané do prevádzky po častiach, musia byť ich nehotové časti spoľahlivo odpojené a zabezpečené proti nežiadúcemu zapojeniu, prípadne musia byť zabezpečené inak, aby pod napätím nedošlo k ohrozeniu osôb.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zariadenia, u ktorých  sa zistí, že ohrozujú život alebo zdravie osôb, treba ihneď odpojiť a zabezpečiť.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 na verejne prístupných miestach, musia byť vybavené výstražnou značkou podľa STN EN 61310-1/2008,upozorňujúcou na nebezpečenstvo úrazu elektrickým prúdom, alebo označené na kryte bleskom červenej farby podľa.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Elektrická inštalácia sa musí usporiadať tak, aby medzi elektrickými a cudzími inštaláciami nenastali vzájomné škodlivé účinky.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ab/>
      </w: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vedenia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uložené a vyhotovené tak, aby boli prehľadné, čo najkratšie a aby sa križovali len v odôvodnených prípadoch. Priechody elektrického vedenia stenami a konštrukciami musia byť vyhotovené tak, aby nebolo ohrozené elektrické vedenie, podklady ani okolité priestory.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Vzdialenosti vodičov a káblov navzájom, od častí budov, od nosných konštrukcií sa musia zvoliť podľa druhu izolácie a spôsobu ich uloženia. Spoje, ktorými sa izolované elektrické vedenia spájajú, nesmú znižovať stupeň izolácie  elektrického vedenia. V rúrk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>ach a podobnom úložnom materiáli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sa nesmú vodiče spájať.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Najmä sa musia urobiť opatrenia: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proti dotyku, alebo priblíženiu sa k častiam s nebezpečným napätím (živým častiam), proti nebezpečnému dotykovému napätiu na prístupných vodivých neživých častiach (obaloch,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púzdrach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, krytoch a konštrukciách), v zmysle STN 33 2000-4-41:2007, STN 33 2000-4-41/01/2009 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proti škodlivým účinkom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atmosferických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výbojov, v zmysle STN 62305-1/2012, , STN 62305-2/2013,  STN 6205-3/01/2012, STN 62305-3/2012 ,STN 62305-4/2013, a STN 33 2000-5-54:2012,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proti nebezpečenstvu vyplývajúcemu z nábojov statickej elektriny, v zmysle STN , STN 332030/A/1988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proti nebezpečným účinkom elektrického oblúku,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proti škodlivému pôsobeniu prostredia na bezpečnosť elektroinštalácie a elektrického zariadenia.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Ak emituje zariadenie nejaký druh žiarenia, treba zabezpečiť, aby používateľ, alebo pracovník technickej obsluhy nebol vystavený nadmerne vysokej úrovni tohto žiarenia.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Ide o šírenie zvukových vĺn, vysokofrekvenčné žiarenie, infračervené žiarenie, viditeľné a 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kohorentné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svetlo s vysokou intenzitou, ultrafialové svetlo, ionizujúce žiarenie atď.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Funkcia, prevádzková spoľahlivosť a bezpečnosť elektrických zariadení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v zmysle vyhlášky č. 508/2009Z.z. §9 až §13, sa preveruje predpísanými prehliadkami a skúškami podľa STN 331500 /Z1/ 2007, STN 331500 /Z1 /01 /2008 STN 33 1600:1996, STN 33 1600 /Z1 /2011.,STN 221500/Z2/2015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Pri odbornej prehliadke a odbornej skúške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sa vyhodnotí: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zhodnosť elektroinštalácie s technickou dokumentáciou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správna funkcia ochranných a zabezpečovacích zariadení,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výsledky všetkých prehliadok a skúšok, vrátane nameraných hodnôt veličín a použitých meracích prístrojov,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doklady k zariadeniu (atesty, certifikáty, vyhlásenia o zhode a pod.), ak sú potrebné z hľadiska celkového posúdenia,</w:t>
      </w:r>
    </w:p>
    <w:p w:rsidR="004D592F" w:rsidRPr="004D592F" w:rsidRDefault="004D592F" w:rsidP="004D592F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ďalšie skutočnosti, ktoré môžu ovplyvniť bezpečnosť zariadenia. 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 ukončení elektroinštalačných prác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 a po odovzdaní správy z odbornej prehliadky a odbornej skúšky a projektu skutočného vyhotovenia elektroinštalácie a elektrického zariadenia, je určený odborne spôsobilý pracovník montážnej organizácie povinný investora a pracovníkov investora, resp. majiteľa a pod. poučiť v zmysle §20 vyhlášky MPSVaR č. 508/2009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 xml:space="preserve">., o možných ohrozeniach elektrickým prúdom pri neodbornom zaobchádzaní s elektrickými zariadeniami resp. o poškodení </w:t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elektrických zariadení neobvyklým  a neodborným zasahovaním do elektrických zariadení a elektroinštalácie. Z predmetného poučenia je treba urobiť zápis s podpisom zúčastnených.</w:t>
      </w:r>
    </w:p>
    <w:p w:rsidR="004D592F" w:rsidRPr="004D592F" w:rsidRDefault="004D592F" w:rsidP="004D592F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Montážna organizácia elektroinštalácie a elektrických zariadení je zodpovedná za vykonanie poučenia investora v zmysle §20,vyhlášky MPSVaR č.508/2009 </w:t>
      </w:r>
      <w:proofErr w:type="spellStart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4D592F" w:rsidRPr="004D592F" w:rsidRDefault="004D592F" w:rsidP="004D592F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cs-CZ"/>
        </w:rPr>
      </w:pPr>
    </w:p>
    <w:p w:rsidR="004D592F" w:rsidRPr="004D592F" w:rsidRDefault="004D592F" w:rsidP="004D592F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i/>
          <w:sz w:val="24"/>
          <w:szCs w:val="24"/>
          <w:lang w:eastAsia="cs-CZ"/>
        </w:rPr>
        <w:tab/>
      </w: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Projektová dokumentácia je vypracovaná podľa platných noriem STN, predpisov a vyhlášok.</w:t>
      </w:r>
    </w:p>
    <w:p w:rsidR="004D592F" w:rsidRPr="004D592F" w:rsidRDefault="004D592F" w:rsidP="004D592F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4D592F">
        <w:rPr>
          <w:rFonts w:ascii="Arial" w:eastAsia="Times New Roman" w:hAnsi="Arial" w:cs="Times New Roman"/>
          <w:sz w:val="24"/>
          <w:szCs w:val="24"/>
          <w:lang w:eastAsia="cs-CZ"/>
        </w:rPr>
        <w:t>Montážne práce musia byť vykonávané podľa platných predpisov a noriem STN, za dôkladného dodržiavania bezpečnosti práce, požiarnej ochrany a používania predpísaných ochranných pomôcok a prostriedkov.</w:t>
      </w:r>
    </w:p>
    <w:p w:rsidR="004D592F" w:rsidRPr="004D592F" w:rsidRDefault="004D592F" w:rsidP="004D592F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4D592F" w:rsidRPr="004D592F" w:rsidRDefault="004D592F" w:rsidP="004D592F">
      <w:pPr>
        <w:spacing w:line="256" w:lineRule="auto"/>
        <w:rPr>
          <w:rFonts w:ascii="Calibri" w:eastAsia="Calibri" w:hAnsi="Calibri" w:cs="Times New Roman"/>
        </w:rPr>
      </w:pPr>
    </w:p>
    <w:p w:rsidR="004D592F" w:rsidRPr="004D592F" w:rsidRDefault="004D592F" w:rsidP="004D592F">
      <w:pPr>
        <w:spacing w:line="256" w:lineRule="auto"/>
        <w:rPr>
          <w:rFonts w:ascii="Calibri" w:eastAsia="Calibri" w:hAnsi="Calibri" w:cs="Times New Roman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02A0F" w:rsidRPr="00CC6061" w:rsidRDefault="00502A0F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Pr="00CC6061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266C57" w:rsidRPr="00CC6061" w:rsidRDefault="00266C57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502A0F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Protokol o určení</w:t>
      </w: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vonkajších vplyvov č. 0173/2021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Vypracoval:       Ing. Stanislav </w:t>
      </w:r>
      <w:proofErr w:type="spellStart"/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Zdichavský</w:t>
      </w:r>
      <w:proofErr w:type="spellEnd"/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, </w:t>
      </w:r>
      <w:proofErr w:type="spellStart"/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Elektroprojekt</w:t>
      </w:r>
      <w:proofErr w:type="spellEnd"/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Topoľčany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Zloženie komisie: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Predseda:          Ing. Stanislav </w:t>
      </w:r>
      <w:proofErr w:type="spellStart"/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Zdichavský</w:t>
      </w:r>
      <w:proofErr w:type="spellEnd"/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Členovia:  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</w:t>
      </w:r>
      <w:proofErr w:type="spellStart"/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>Ing.arch</w:t>
      </w:r>
      <w:proofErr w:type="spellEnd"/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>.</w:t>
      </w:r>
      <w:r w:rsidR="00E701C9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 xml:space="preserve">Ondrej </w:t>
      </w:r>
      <w:proofErr w:type="spellStart"/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>Trangoš</w:t>
      </w:r>
      <w:proofErr w:type="spellEnd"/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</w:p>
    <w:p w:rsidR="00CC6061" w:rsidRPr="00CC6061" w:rsidRDefault="00266C57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Daniel </w:t>
      </w:r>
      <w:proofErr w:type="spellStart"/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>Godál</w:t>
      </w:r>
      <w:proofErr w:type="spellEnd"/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Objekt:    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ZBERNÝ DVOR </w:t>
      </w:r>
      <w:r w:rsidR="00266C57">
        <w:rPr>
          <w:rFonts w:ascii="Arial" w:eastAsia="Times New Roman" w:hAnsi="Arial" w:cs="Times New Roman"/>
          <w:sz w:val="24"/>
          <w:szCs w:val="24"/>
          <w:lang w:eastAsia="cs-CZ"/>
        </w:rPr>
        <w:t xml:space="preserve">LUDANICE </w:t>
      </w:r>
    </w:p>
    <w:p w:rsidR="00CC6061" w:rsidRDefault="00266C57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SO 03  ELEKTROINŠTALÁCIA PRÍSTREŠKU PRE TECHNIKU</w:t>
      </w:r>
    </w:p>
    <w:p w:rsidR="00266C57" w:rsidRDefault="00266C57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SO 04  ELEKTROINŠTALÁCIA OTVORENÉHO PRÍSTREŠKU</w:t>
      </w:r>
    </w:p>
    <w:p w:rsidR="00266C57" w:rsidRPr="00CC6061" w:rsidRDefault="00266C57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Podklady použité na :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Vypracovanie protokolu :   - stavebná časť projektu ,                   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- predpisy a normy STN      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Opis technologického procesu a zariadenia:</w:t>
      </w:r>
    </w:p>
    <w:p w:rsidR="00CC6061" w:rsidRPr="00CC6061" w:rsidRDefault="00266C57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Ide o oceľové prístrešky pre skladovanie mobilnej techniky a skladovanie elektro odpadu. Strecha prístreškov je plechová. 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Elektrické rozvody pozostávajú z rozvádzač</w:t>
      </w:r>
      <w:r>
        <w:rPr>
          <w:rFonts w:ascii="Arial" w:eastAsia="Times New Roman" w:hAnsi="Arial" w:cs="Times New Roman"/>
          <w:sz w:val="24"/>
          <w:szCs w:val="24"/>
          <w:lang w:eastAsia="cs-CZ"/>
        </w:rPr>
        <w:t>ov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RS</w:t>
      </w:r>
      <w:r>
        <w:rPr>
          <w:rFonts w:ascii="Arial" w:eastAsia="Times New Roman" w:hAnsi="Arial" w:cs="Times New Roman"/>
          <w:sz w:val="24"/>
          <w:szCs w:val="24"/>
          <w:lang w:eastAsia="cs-CZ"/>
        </w:rPr>
        <w:t>1, RS2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a zásuvkovej skrine. R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ozvody sú riešené káblami CYKY pevne po povrchu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.  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R O Z H O D N U T I E :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Na základe predložených podkladov komisia podľa STN 33 2000-5-51/2010 určila vonkajšie vplyvy v jednotlivých priestoroch a ich rozsahy, požadované opatrenia na zníženie nepriaznivých vplyvov prostredia. Vonkajšie vplyvy sú uvedené v tabuľke, ktorá je súčasťou tohto protokolu. 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Zdôvodnenie: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Komisia pri svojom rozhodnutí vychádzala z predložených podk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 xml:space="preserve">ladov  a predpisov a určila 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vonkajší vplyv z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ákladný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.  Z tohto dôvodu 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nie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je potrebné robiť zvláštne opatrenia. 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 xml:space="preserve">Elektroinštaláciu vyhotoviť 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v krytí IP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20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.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 xml:space="preserve"> Na rozvádzače a bleskozvod bude pôsobiť vonkajší vplyv zložitý, r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ozvádzač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e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a zásuvkov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ú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skriň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u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vyhotov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 xml:space="preserve">iť 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v krytí IP</w:t>
      </w:r>
      <w:r w:rsidR="00082808">
        <w:rPr>
          <w:rFonts w:ascii="Arial" w:eastAsia="Times New Roman" w:hAnsi="Arial" w:cs="Times New Roman"/>
          <w:sz w:val="24"/>
          <w:szCs w:val="24"/>
          <w:lang w:eastAsia="cs-CZ"/>
        </w:rPr>
        <w:t>20 pri otvorených dverách  a IP 43 pri zatvorených dverách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V prípade, že dôjde k zmene uvedených skutočností, treba protokol prehodnotiť, resp. treba vypracovať  nový protokol o vonkajších vplyvoch.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082808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1/ Vnútorné priestory prístreškov</w:t>
      </w:r>
    </w:p>
    <w:p w:rsidR="00CC6061" w:rsidRPr="00CC6061" w:rsidRDefault="00082808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2/ Vonkajší plášť a strecha </w:t>
      </w:r>
    </w:p>
    <w:tbl>
      <w:tblPr>
        <w:tblpPr w:leftFromText="141" w:rightFromText="141" w:bottomFromText="160" w:vertAnchor="text" w:horzAnchor="margin" w:tblpY="-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9"/>
        <w:gridCol w:w="708"/>
        <w:gridCol w:w="677"/>
        <w:gridCol w:w="741"/>
        <w:gridCol w:w="709"/>
        <w:gridCol w:w="708"/>
        <w:gridCol w:w="851"/>
        <w:gridCol w:w="850"/>
        <w:gridCol w:w="851"/>
      </w:tblGrid>
      <w:tr w:rsidR="00CC6061" w:rsidRPr="00CC6061" w:rsidTr="00CC6061">
        <w:trPr>
          <w:trHeight w:val="27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lastRenderedPageBreak/>
              <w:t>Kód</w:t>
            </w:r>
          </w:p>
        </w:tc>
        <w:tc>
          <w:tcPr>
            <w:tcW w:w="68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Prístrešky SO 03,  SO 04</w:t>
            </w:r>
            <w:r w:rsidR="00CC6061"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  </w:t>
            </w:r>
          </w:p>
        </w:tc>
      </w:tr>
      <w:tr w:rsidR="00CC6061" w:rsidRPr="00CC6061" w:rsidTr="00CC6061">
        <w:trPr>
          <w:trHeight w:val="59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56" w:lineRule="auto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Vonkajší vplyv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1/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2/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160" w:lineRule="atLeast"/>
              <w:jc w:val="center"/>
              <w:rPr>
                <w:rFonts w:ascii="Arial" w:eastAsia="Calibri" w:hAnsi="Arial" w:cs="Times New Roman"/>
                <w:b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 xml:space="preserve">AA 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– Teplota okolia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AB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Atmosférické podmienky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 xml:space="preserve">AC 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– Nadmorská výška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AD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výskyt vody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AD1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082808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dáž</w:t>
            </w:r>
            <w:r w:rsidR="00CC6061"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ď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AE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Výskyt cudzích pevných telies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AE1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AE1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AF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Výskyt korozívnych alebo znečisťujúcich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AF2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AF2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AG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Mechanické namáhanie – nárazy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 xml:space="preserve">AH 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– Vibrácie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AK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Výskyt rastlín alebo plesní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082808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AK</w:t>
            </w:r>
            <w:r w:rsidR="00082808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AK2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AL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Výskyt živočíchov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AM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Elektromagnetické, elektrostatické alebo ionizujúce pôsobenie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AN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Slnečné žiarenie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AN1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AN2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AP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Seizmické účinky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AQ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Búrková činnosť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AR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Pohyb vzduchu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082808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AR</w:t>
            </w:r>
            <w:r w:rsidR="00082808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AR2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AS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Vietor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AS2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AT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Snehová pokrývka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082808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AT2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AU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Námraza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EC597F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AU2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7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BA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Schopnosť osôb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BB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Odpor tela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BC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Kontakt osôb s potenciálom zeme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BD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Podmienky úniku v prípade nebezpečenstva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BE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Povaha spracúvaných a skladovaných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lastRenderedPageBreak/>
              <w:t>CA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Stavebné materiály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  <w:vertAlign w:val="superscript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CA1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CA1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  <w:vertAlign w:val="superscript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CA1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CA1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CC6061" w:rsidRPr="00CC6061" w:rsidTr="00CC6061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b/>
                <w:sz w:val="24"/>
                <w:szCs w:val="24"/>
                <w:lang w:eastAsia="cs-CZ"/>
              </w:rPr>
              <w:t>CB</w:t>
            </w: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 – </w:t>
            </w:r>
            <w:proofErr w:type="spellStart"/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Konštruk.budovy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  <w:r w:rsidRPr="00CC6061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061" w:rsidRPr="00CC6061" w:rsidRDefault="00CC6061" w:rsidP="00CC6061">
            <w:pPr>
              <w:spacing w:after="0" w:line="240" w:lineRule="auto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</w:tbl>
    <w:p w:rsidR="00CC6061" w:rsidRPr="00CC6061" w:rsidRDefault="00CC6061" w:rsidP="00CC6061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Opatrenia na zníženie nepriaznivých vplyvov prostredia: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EC597F" w:rsidRDefault="00EC597F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Elektroinštalácia prístreškov bude vyhotovená minimálne v krytí IP 20 a na vonkajšom plášti IP 43. Rozvádzače vyhotoviť v krytí IP20 pri otvorených dverách a IP 43 pri zatvorených dverách. Bleskozvod na streche vyhotoviť z nehrdzavejúcej ocele. </w:t>
      </w:r>
    </w:p>
    <w:p w:rsid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EC597F" w:rsidRPr="00CC6061" w:rsidRDefault="00EC597F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V Topoľčanoch, </w:t>
      </w:r>
      <w:r w:rsidR="00EC597F">
        <w:rPr>
          <w:rFonts w:ascii="Arial" w:eastAsia="Times New Roman" w:hAnsi="Arial" w:cs="Times New Roman"/>
          <w:sz w:val="24"/>
          <w:szCs w:val="24"/>
          <w:lang w:eastAsia="cs-CZ"/>
        </w:rPr>
        <w:t>10</w:t>
      </w: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>/20</w:t>
      </w:r>
      <w:r w:rsidR="00EC597F">
        <w:rPr>
          <w:rFonts w:ascii="Arial" w:eastAsia="Times New Roman" w:hAnsi="Arial" w:cs="Times New Roman"/>
          <w:sz w:val="24"/>
          <w:szCs w:val="24"/>
          <w:lang w:eastAsia="cs-CZ"/>
        </w:rPr>
        <w:t>21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EC597F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                         </w:t>
      </w:r>
      <w:r w:rsidR="00EC597F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</w:t>
      </w:r>
    </w:p>
    <w:p w:rsidR="00CC6061" w:rsidRPr="00CC6061" w:rsidRDefault="00EC597F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                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>...............................................................</w:t>
      </w:r>
    </w:p>
    <w:p w:rsidR="00CC6061" w:rsidRPr="00CC6061" w:rsidRDefault="00EC597F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                   </w:t>
      </w:r>
      <w:r w:rsidR="00CC6061" w:rsidRPr="00CC6061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podpis predsedu komisie</w:t>
      </w: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CC6061" w:rsidRPr="00CC6061" w:rsidRDefault="00CC6061" w:rsidP="00CC6061">
      <w:pPr>
        <w:tabs>
          <w:tab w:val="left" w:pos="1985"/>
          <w:tab w:val="left" w:pos="4536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sectPr w:rsidR="00CC6061" w:rsidRPr="00CC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25933"/>
    <w:multiLevelType w:val="singleLevel"/>
    <w:tmpl w:val="939EC2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E6D02D8"/>
    <w:multiLevelType w:val="hybridMultilevel"/>
    <w:tmpl w:val="A4E8D9AA"/>
    <w:lvl w:ilvl="0" w:tplc="54DE5C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7E"/>
    <w:rsid w:val="00041B58"/>
    <w:rsid w:val="00082808"/>
    <w:rsid w:val="000C1B94"/>
    <w:rsid w:val="0026371B"/>
    <w:rsid w:val="00266C57"/>
    <w:rsid w:val="00464B5F"/>
    <w:rsid w:val="004D592F"/>
    <w:rsid w:val="00502A0F"/>
    <w:rsid w:val="00607ABE"/>
    <w:rsid w:val="00CC6061"/>
    <w:rsid w:val="00E5027E"/>
    <w:rsid w:val="00E701C9"/>
    <w:rsid w:val="00EC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70FE0-FF2B-4768-B212-A48D20B8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Bezzoznamu1">
    <w:name w:val="Bez zoznamu1"/>
    <w:next w:val="Bezzoznamu"/>
    <w:uiPriority w:val="99"/>
    <w:semiHidden/>
    <w:unhideWhenUsed/>
    <w:rsid w:val="00CC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3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</dc:creator>
  <cp:keywords/>
  <dc:description/>
  <cp:lastModifiedBy>Miko</cp:lastModifiedBy>
  <cp:revision>7</cp:revision>
  <dcterms:created xsi:type="dcterms:W3CDTF">2021-11-02T08:08:00Z</dcterms:created>
  <dcterms:modified xsi:type="dcterms:W3CDTF">2021-11-02T09:49:00Z</dcterms:modified>
</cp:coreProperties>
</file>